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87 vom 26. Oktober 2020</w:t>
      </w:r>
    </w:p>
    <w:p>
      <w:r>
        <w:t>VS Kantonsgericht, 2020-10-26, DE</w:t>
      </w:r>
    </w:p>
    <w:p>
      <w:r>
        <w:rPr>
          <w:b/>
        </w:rPr>
        <w:t xml:space="preserve">Quelle: </w:t>
      </w:r>
      <w:r>
        <w:t>https://mcp.opencaselaw.ch/entscheid/vs_gerichte_A1 20 87</w:t>
      </w:r>
    </w:p>
    <w:p>
      <w:r>
        <w:t>FR: VS_GERICHTE A1 20 87 du 26 octobre 2020</w:t>
      </w:r>
    </w:p>
    <w:p>
      <w:r>
        <w:t>IT: VS_GERICHTE A1 20 87 del 26 ottobre 2020</w:t>
      </w:r>
    </w:p>
    <w:p>
      <w:pPr>
        <w:pStyle w:val="Heading2"/>
      </w:pPr>
      <w:r>
        <w:t>Regeste</w:t>
      </w:r>
    </w:p>
    <w:p>
      <w:r>
        <w:t>A1 20 87 URTEIL VOM 26. OKTOBER 2020 Kantonsgericht Wallis Öffentlichrechtliche Abteilung Es wirken mit: Christophe Joris, Präsident, Thomas Brunner, Richter und Frédéric Fellay, Ersatzrichter, sowie Carmen Mangisch, Gerichtsschreiberin, in Sachen X _________, Beschwerdeführerin, gegen STAATSRAT DES KANTONS WALLIS, 1950 Sitten, Vorinstanz, Y _________ AG, Beschwerdegegnerin, vertreten durch Rechtsanwalt M _________, (Bauwesen) Verwaltungsgerichtsbeschwerde gegen den Entscheid vom 25. März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Zur Beschwerde legitimiert ist, wer durch die angefochtene Verfügung berührt ist und ein schutzwürdiges Interesse an deren Aufhebung oder Änderung hat (Art. 80 Abs. 1 lit. a i.V.m. Art. 44 Abs. 1 lit. a VVRG). Ein schutzwürdiges Interesse liegt vor, wenn die tat- sächliche oder rechtliche Situation des Beschwerdeführers durch den Ausgang des Ver- fahrens beeinflusst werden kann. Unzulässig sind Beschwerden, mit denen ein bloss allgemeines öffentliches Interesse an der richtigen Anwendung des Rechts verfolgt wird, ohne dass dem Beschwerdeführer im Falle des Obsiegens ein praktischer Nutzen ent- steht (Urteil des Bundesgerichts 1C_352/2019 vom 27. Mai 2020 E. 2). Die Beschwer- deführerin ist als Eigentümerin der nahe des betroffenen Grundstücks liegenden Parzelle Nr. 546 und als Adressatin des angefochtenen Staatsratsentscheids durch diesen be- rührt und hat ein schutzwürdiges Interesse an dessen Änderung oder Aufhebung, so dass sie zur Beschwerdeführung legitimiert ist. Auf die im Übrigen form- und fristgerecht eingereichte Beschwerde ist deshalb einzutreten (Art. 80 Abs. 1 lit. b und c i.V.m. Art. 46 und Art. 48 VVRG).</w:t>
      </w:r>
    </w:p>
    <w:p>
      <w:r>
        <w:t>- 7 -</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Beschwerdeführerin sowie die Beschwerdegegnerin beantragen als Beweismittel die von ihnen eingereichten Urkunden. Das Kantonsgericht hat die eingereichten Urkun- den zu den Akten genommen. Der Staatsrat hat am 16. Juni 2020 die Akten des Verwal- tungsbeschwerdeverfahrens und des Verfahrens vor der KBK eingereicht. Den Beweis- anträgen ist damit entsprochen worden. Die vorhandenen Akten umfassen mithin die entscheidrelevanten Belege und Sachverhaltselemente und genügen, wie die nachfol- genden Erwägungen zeigen, zur Beurteilung der rechtserheblichen Fragen. Das urtei- lende Gericht nimmt unter Berücksichtigung der vorliegenden Umstände in antizipierter Beweiswürdigung an, weitere Beweismittel würden nichts an der zu beurteilenden Sach- und Rechtslage ändern, weshalb auf zusätzliche Beweisabnahmen verzichtet wird.</w:t>
      </w:r>
    </w:p>
    <w:p>
      <w:r>
        <w:rPr>
          <w:b/>
        </w:rPr>
        <w:t>E. 3.00</w:t>
      </w:r>
    </w:p>
    <w:p>
      <w:r>
        <w:t>m. Die Umgebung und Bepflanzung ist Bestandteil jeder gewerblichen Anlage; der Gemeinderat kann entsprechende Anordnungen erteilen. Es gilt die Lärmempfindlich- keitsstufe III/IV.</w:t>
      </w:r>
    </w:p>
    <w:p>
      <w:r>
        <w:rPr>
          <w:b/>
        </w:rPr>
        <w:t>E. 4</w:t>
      </w:r>
    </w:p>
    <w:p>
      <w:r>
        <w:t>Die Beschwerdeführerin bringt vor, dass die Beschwerdegegnerin bereits die Tätig- keit der Pelletieranlage aufgenommen habe und Pellets ausliefere, obwohl noch keine rechtskräftige Baubewilligung vorliege. Von Gesetzes wegen würde nur der Baube- schwerde an den Staatsrat keine aufschiebende Wirkung zukommen. Die Beschwerde ans Kantonsgericht hingegen habe aufschiebende Wirkung. Aus diesem Grund dürfe die Beschwerdegegnerin den neuen Betrieb nicht aufnehmen. Insofern die Beschwerdefüh- rerin um aufschiebende Wirkung ersucht, so wird dieses Gesuch mit dem vorliegenden Entscheid gegenstandslos. Es ist aber anzumerken, dass die Prüfung, ob eine allfällige Betriebsaufnahme rechtens erfolgte, nicht Gegenstand dieses Baubewilligungsverfah- rens ist.</w:t>
      </w:r>
    </w:p>
    <w:p>
      <w:r>
        <w:rPr>
          <w:b/>
        </w:rPr>
        <w:t>E. 5</w:t>
      </w:r>
    </w:p>
    <w:p>
      <w:r>
        <w:t>Die Beschwerdeführerin rügt vorab eine Verletzung des rechtlichen Gehörs. Sie macht geltend, der Staatsrat sei auf ihre Hinweise betreffend die Notwendigkeit einer geschlossenen Gebäudehülle sowie der fixen Montage des Hackers in der Hackschnit- zelhalle nicht eingegangen.</w:t>
      </w:r>
    </w:p>
    <w:p>
      <w:r>
        <w:t>- 8 -</w:t>
      </w:r>
    </w:p>
    <w:p>
      <w:r>
        <w:rPr>
          <w:b/>
        </w:rPr>
        <w:t>E. 5.1</w:t>
      </w:r>
    </w:p>
    <w:p>
      <w:r>
        <w:t>Art. 29 Abs. 2 der Bundesverfassung der Schweizerischen Eidgenossenschaft (BV; SR 101) garantiert den Anspruch auf rechtliches Gehör. Er dient einerseits der Sachauf- klärung und garantiert andererseits ein persönlichkeitsbezogenes Mitwirkungsrecht der Parteien im Verfahren, soweit dies Einfluss auf ihre Rechtsstellung haben kann. Die Ge- hörsgarantie ist somit ein verfassungsmässig geschütztes Individualrecht, hat also den Charakter eines selbständigen Grundrechts (Ulrich Häfelin/Georg Mül-ler/Felix Uhl- mann, Allgemeines Verwaltungsrecht, 8. A., 2020, N. 1001 und 1003). Aus Art. 29 Abs. 2 BV folgt insbesondere auch ein Mindestanspruch auf Begründung eines hoheitlichen Aktes. Die Begründungspflicht für kantonale und kommunale Behörden ergibt sich aus dem kantonalen Verfahrensrecht, vorliegend aus Art. 29 Abs. 3 VVRG, welcher aus- drücklich festhält, dass Verfügungen zu begründen sind. Der Sinn und Zweck der Be- gründungspflicht liegt darin, dass der Bürger wissen soll, warum eine Behörde entgegen seinen Anträgen entschieden hat. Die Begründung eines Entscheids muss deshalb so abgefasst sein, dass die betroffene Person ihn gegebenenfalls sachgerecht anfechten kann. Dies ist nur möglich, wenn sowohl sie wie auch die Rechtsmittelinstanz sich über die Tragweite des Entscheids ein Bild machen können. Der Anspruch auf rechtliches Gehör verlangt von der Behörde, dass sie die Vorbringen der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des Ent- scheids muss die wesentlichen Überlegungen nennen, von denen sich die Behörde hat leiten lassen und auf die sie ihren Entscheid stützt. Sie muss sich jedoch nicht mit allen Parteistandpunkten einlässlich auseinandersetzen und jedes einzelne Vorbringen aus- drücklich widerlegen (BGE 141 III 28 E. 3.2.4; BGE 136 I 184 E. 2.2.1; Urteil des Bun- desgerichts 8C_460/2020 vom 4. September 2020 E. 5.1; Urteil des Kantonsgerichts A1 18 174 vom 8. Februar 2019 E. 4.1). Die Begründungsdichte und der Umfang der Begründung richten sich nach den Umständen. Sind Sachlage und Normen klar, so kön- nen Hinweise auf die Rechtsgrundlagen genügen (Gerold Steinmann, in: Bernhard Eh- renzeller et. al. [Hrsg.], Die Schweizerische Bundesverfassung, St. Galler Kommentar, 3. A., 2014, N. 49 zu Art. 29 BV). Ob die Begründung rechtlich zutreffend und haltbar ist, ist wiederum keine Frage des formellen Anspruchs auf rechtliches Gehör, sondern der materiellen Beurteilung der Streitfrage.</w:t>
      </w:r>
    </w:p>
    <w:p>
      <w:r>
        <w:rPr>
          <w:b/>
        </w:rPr>
        <w:t>E. 5.2</w:t>
      </w:r>
    </w:p>
    <w:p>
      <w:r>
        <w:t>Diesen Anforderungen wird der Entscheid des Staatsrats vom 30. März 2020 ge- recht, indem er den bisherigen Verfahrensablauf beschreibt und die gesetzlichen Grund- lagen aufführt, sich mit den Lärm- und Staubemissionen sowie den dafür vorgesehenen Auflagen und Bedingungen befasst und darlegt, dass die einzuhaltenden Planungswerte</w:t>
      </w:r>
    </w:p>
    <w:p>
      <w:r>
        <w:t>- 9 - eingehalten werden und das Vorhaben somit den gesetzlichen Anforderungen nach- kommt. Gestützt darauf ergibt sich, warum die vorgeschlagenen Massnahmen der Be- schwerdeführerin, namentlich die Forderung nach einer geschlossenen Gebäudehülle sowie der fixen Montage des Hackers in der Hackschnitzelhalle, nicht als notwendig er- achtet wurden. Aus der Begründung geht hervor, welche Überlegungen für die Vo- rinstanz ausschlaggebend waren. Die Beschwerdeführerin hat die Tragweite des Ent- scheids offensichtlich erkennen können und ist in der Lage gewesen, diesen sachge- recht anzufechten und umfassend darzulegen, inwiefern bzw. aus welchen Gründen sie ihn für falsch erachtet. Der Staatsrat hat der Begründungspflicht Genüge getan, zumal er sich nicht mit jedem einzelnen Vorbringen auseinandersetzen musste. Der Anspruch auf rechtliches Gehör der Beschwerdeführerin ist nicht verletzt worden. Selbst bei einer Verletzung des Anspruchs auf rechtliches Gehör ist von einer Rückweisung der Sache an die Vorinstanz abzusehen, wenn und soweit die Rückweisung zu einem formalisti- schen Leerlauf und damit zu unnötigen Verzögerung führen würde, die mit dem Interesse der betroffenen Partei an einer beförderlichen Beurteilung der Sache nicht zu vereinba- ren wäre (BGE 142 II 218 E. 2.8.1; 137 I 195 E. 2.3.2; Urteile des Bundesgerichts 1C_254/2017 vom 5. Januar 2018 E. 2.5; 1B_512/2012 vom 2. Oktober 2012 E. 3.3 und 3.4).</w:t>
      </w:r>
    </w:p>
    <w:p>
      <w:r>
        <w:rPr>
          <w:b/>
        </w:rPr>
        <w:t>E. 6</w:t>
      </w:r>
    </w:p>
    <w:p>
      <w:r>
        <w:t>Die Beschwerdeführerin macht geltend, das Silo und die blauen Container würden sich nicht in das Landschaftsbild integrieren und entsprächen nicht den Ästhetikklauseln Art. 28 und 29 der Bauverordnung der Gemeinde A _________ vom 31. Dezember 2012, homologiert vom Staatsrat am 24. August 2014.</w:t>
      </w:r>
    </w:p>
    <w:p>
      <w:r>
        <w:rPr>
          <w:b/>
        </w:rPr>
        <w:t>E. 6.1</w:t>
      </w:r>
    </w:p>
    <w:p>
      <w:r>
        <w:t>Gemäss Art. 25 Abs. 1 des Baugesetzes vom 15. Dezember 2016 (BauG; SGS/VS 705.1) müssen sich Bauten und Anlagen namentlich hinsichtlich Grösse, Lage, Form, Material und Farbe in die bauliche und landschaftliche Umgebung einordnen. Die Bauverordnung der Gemeinde A _________ sieht in Art. 28 vor, dass in unmittelbarer Nähe geschützter oder allgemein wertvoller Bauten eine einwandfreie Gestaltung erfor- derlich ist. Neubauten sind so zu erstellen, dass ihr Aussehen das Ortsbild nicht beein- trächtigt. Der Gemeinderat kann eine dem Schutze oder der Verbesserung des Ortsbil- des dienende Umgebungsgestaltung und Bepflanzung verlangen. Bauvorhaben, die das Orts- und Landschaftsbild beeinträchtigen, hat der Gemeinderat zu verweigern, auch wenn sie sonst den vorliegenden Bauvorschriften entsprechen. Art. 29 der Bauverord- nung der Gemeinde A _________ besagt weiter, dass Neu-, An-, Um- und Aufbauten, Renovationen, Terrainveränderungen und Einfriedungen in ihre landschaftliche und bau-</w:t>
      </w:r>
    </w:p>
    <w:p>
      <w:r>
        <w:t>- 10 - liche Umgebung so einzugliedern sind, dass eine befriedigende Gesamtwirkung ent- steht. Sie sind im Ganzen und in ihren einzelnen Teilen nach den allgemein anerkannten Regeln der Baukunst werkgerecht durchzubilden, zu gliedern und zu gestalten. Der Ge- meinderat kann entsprechende Verfügungen erlassen. Diese Bestimmungen gehen den übrigen Artikeln der Bauordnung vor. Bauvorhaben, die diesen Anforderungen nicht ge- nügen, ist die Bewilligung zu verweigern, auch wenn im Übrigen die baupolizeilichen Vorschriften eingehalten sind. Vorbehalten bleiben die eidgenössischen und kantonalen Vorschriften für den Natur- und Heimatschutz. Das Bauvorhaben liegt in der Gewerbe- zone. Gemäss Art. 87 der Bauverordnung der Gemeinde A _________ ist diese Zone für das Gewerbe und für alle störenden Betriebe bestimmt, die in den Wohnzonen aus- geschlossen sind. Industrien, die nicht stärkere Immissionen verursachen als Gewerbe- betriebe, sind gestattet. Die betriebszugehörigen Wohnungen dürfen errichtet werden. Reine Wohnbauten sind jedoch nicht zugelassen. Übermässige Einwirkungen auf Nach- bargrundstücke sind untersagt. Stellung, Lage, Grösse und Gestaltung der Bauten kön- nen von der zuständigen Bewilligungsbehörde unter gebührender Berücksichtigung des öffentlichen und privaten Interesses und der baulichen Erfordernisse von Fall zu Fall festgelegt werden. Als Grenzabstand gilt 1/3 der jeweiligen Fassadenhöhe, mind. aber</w:t>
      </w:r>
    </w:p>
    <w:p>
      <w:r>
        <w:rPr>
          <w:b/>
        </w:rPr>
        <w:t>E. 6.2</w:t>
      </w:r>
    </w:p>
    <w:p>
      <w:r>
        <w:t>Wenn die Beschwerdeführerin fordert, die Baubewilligung sei nicht zu erteilen, da sich das Vorhaben nicht in das Landschaftsbild integriere und die Ästhetikklauseln ver- letze, würde diese Handhabung der vorgenannten Bestimmungen (Art. 28 und 29 der Bauverordnung der Gemeinde A _________) nach bundesgerichtlicher Rechtsprechung im Ergebnis dazu führen, dass die Zonenordnung ausser Kraft gesetzt würde. Gemäss der Rechtsprechung des Bundesgerichts darf die Anwendung einer Ästhetik- bzw. Schutzvorschrift nicht dazu führen, dass generell die Zonenordnung ausser Kraft gesetzt wird (ZWR 2018 S. 18; Urteile des Bundesgerichts 1P.417/2005 vom 6. Oktober 2005 E. 3.1 und 1P.9/1997 vom 21. Mai 1997 E. 3a in ZBl 99/1998 S. 170, 173 f. mit weiteren Hinweisen; BGE 115 Ia 370 E. 5). Die kommunale Bauordnung sieht in A _________ für Bauvorhaben, wie jenes der Beschwerdegegnerin, nur die Gewerbezone vor. Für Bau- vorhaben, welche in der Gewerbezone angesiedelt werden, ist es gerade typisch, dass diese Bauelemente wie Container, Silos oder Ähnliches aufweisen können. Auch aus diesem Grund werden Gewerbezonen ausgeschieden, um das Ortsbild anderer Zonen nicht durch solche Gewerbebauten zu beeinträchtigen. Würden solche Bauvorhaben nicht in der Gewerbezone bewilligt werden dürfen, fragt sich, wo diese sonst angesiedelt</w:t>
      </w:r>
    </w:p>
    <w:p>
      <w:r>
        <w:t>- 11 - werden sollten. Schliesslich muss auch erwähnt werden, dass im betreffenden Gebiet und in unmittelbarer Nähe der Bauparzelle Nr. xxx keine geschützten oder allgemein wertvollen Bauten vorzufinden sind, die eine einwandfreie Gestaltung fordern. Im Ge- genteil, es besteht im betreffenden Gebiet und in unmittelbarer Nähe des Bauvorhabens bereits ein Kraftwerk, womit kein einheitliches, intaktes und schützenswertes Ortsbild vorliegt, was dem Bauvorhaben der Beschwerdegegnerin entgegenstehen würde. Die Rüge der Beschwerdeführerin geht damit fehl.</w:t>
      </w:r>
    </w:p>
    <w:p>
      <w:r>
        <w:rPr>
          <w:b/>
        </w:rPr>
        <w:t>E. 7</w:t>
      </w:r>
    </w:p>
    <w:p>
      <w:r>
        <w:t>Die Beschwerdeführerin macht geltend, dem Vorsorgeprinzip müsse mehr Beach- tung zukommen und es seien weitere Massnahmen zum Umweltschutz, insbesondere dem Lärmschutz, zu ergreifen. Sie begründet dies unter anderem auch damit, dass ihr Wohnhaus, das ebenfalls in der Gewerbezone liegt, vorbestehend sei und auf die ganz- jährige Wohnsituation so viel Rücksicht als möglich genommen werden müsse. Ebenso führt sie an, dass auf ihrem Grundstück auch Pferde leben, die gemäss Tierschutzver- ordnung nicht übermässigem Lärm ausgesetzt werden dürfen. Sowohl die Lärmschutz- verordnung als auch die Luftreinhalteverordnung würden vorsorgliche und verschärfte Emissionsbegrenzungen verlangen. Als weitergehende Massnahmen fordert die Be- schwerdeführerin deshalb die komplette Schliessung der Gebäudehülle der Hackschnit- zelhalle sowie die fixe Montage des mobilen Hackers in der Hackschnitzelhalle. Falls eine fixe Montage nicht in Frage komme, seien um den Platz herum, auf dem der Hacker aufgestellt werde, Lärmschutzwände zu errichten. Ebenso sei der Standort, wo sich der Hacker befinde, genau festzulegen. Schliesslich sei die Betriebsdauer des Holzhackers auf maximal 80 Stunden pro Jahr zu beschränken.</w:t>
      </w:r>
    </w:p>
    <w:p>
      <w:r>
        <w:rPr>
          <w:b/>
        </w:rPr>
        <w:t>E. 7.1</w:t>
      </w:r>
    </w:p>
    <w:p>
      <w:r>
        <w:t>Das Umweltschutzgesetz bezweckt unter anderem den Schutz des Menschen und seiner Umwelt vor schädlichen oder lästigen Einwirkungen (Art. 1 Abs. 1 des Bundesge- setzes über den Umweltschutz vom 7. Oktober 1983 [USG, SR 814.01]). Hierzu sollen Luftverunreinigungen, Lärm, Erschütterungen und Strahlen durch Massnahmen bei der Quelle begrenzt werden (Art. 11 Abs. 1 USG). Für die Beurteilung der schädlichen oder lästigen Einwirkungen legt der Bundesrat durch Verordnung Immissionsgrenzwerte fest (Art. 13 Abs. 1 USG). Diese sind nach Art. 15 USG so festzulegen, dass nach dem Stand der Wissenschaft oder der Erfahrung Immissionen unterhalb dieser Werte die Bevölke- rung in ihrem Wohlbefinden nicht erheblich stören. Das Vorsorgeprinzip, welches unter anderem in Art. 1 Abs. 2 USG seinen Ausdruck findet, sieht vor, dass im Sinne der Vor- sorge Einwirkungen, die schädlich oder lästig werden können, frühzeitig zu begrenzen sind. Unabhängig von der bestehenden Umweltbelastung sind Emissionen deshalb im</w:t>
      </w:r>
    </w:p>
    <w:p>
      <w:r>
        <w:t>- 12 - Rahmen der Vorsorge soweit zu begrenzen, als dies technisch und betrieblich möglich und wirtschaftlich tragbar ist (Art. 11 Abs. 2 USG). In Bezug auf den Lärmschutz ist vorgesehen, dass die Lärmemissionen einer neuen ortsfesten Anlage soweit begrenzt werden müssen, als dies technisch und betrieblich möglich und wirtschaftlich tragbar ist und dass die von der Anlage allein erzeugten Lär- mimmissionen die Planungswerte nicht überschreiten (Art. 7 Abs. 1 der Lärmschutzver- ordnung vom 15. Dezember 1986 [LSV; SR 814.41]). Im Bereich des Lärmschutzes gel- ten somit die Voraussetzungen der Einhaltung der Planungswerte und der vorsorglichen Emissionsbegrenzung kumulativ. Auch wenn ein Projekt die Planungswerte einhält, ist deshalb anhand der in Art. 11 Abs. 2 USG und Art. 7 Abs. 1 lit. a LSV genannten Kriterien zu prüfen, ob das Vorsorgeprinzip weitergehende Beschränkungen erfordert (BGE 124 II 517 E. 4b mit Hinweisen). Aus dem Vorsorgeprinzip lässt sich jedoch nicht ableiten, dass von einer Anlage Betroffene überhaupt keine Belastungen hinzunehmen hätten. Soweit die Entstehung bestimmter Emissionen nicht verhindert werden kann, dienen die gestützt auf das Vorsorgeprinzip zu ergreifenden Massnahmen dazu, Mensch und Um- welt gegen die Einwirkungen abzuschirmen. Das Vorsorgeprinzip hat somit hinsichtlich der Einwirkungen nicht zwingend eliminierenden Charakter, aber es leistet einen Beitrag zu deren Begrenzung (Urteil des Bundesgerichts 1C_603/2018 vom 13. Januar 2020 E. 3.2; BGE 124 II 517 E. 4b; A1 15 143 vom 22. Januar 2016 E. 4.3.1). Bei Anlagen, wel- che die lärmschutzrechtlichen Planungswerte einhalten, kommen zusätzliche Massnah- men zum Lärmschutz im Sinne der Vorsorge jedoch nur in Betracht, wenn sich dadurch mit relativ geringem Aufwand eine wesentliche zusätzliche Reduktion der Emissionen erreichen lässt (Urteil des Bundesgerichts 1C_218/2018 vom 2. November 2018 E. 3; BGE 127 II 306 E. 8; Beatrice Wagner Pfeifer, Umweltrecht Allgemeine Grundalgen, 2017, S. 25 f.).</w:t>
      </w:r>
    </w:p>
    <w:p>
      <w:r>
        <w:rPr>
          <w:b/>
        </w:rPr>
        <w:t>E. 7.2</w:t>
      </w:r>
    </w:p>
    <w:p>
      <w:r>
        <w:t>Das vorliegend strittige Bauvorhaben sowie auch das Grundstück der Beschwerde- führerin befinden sich in der Gewerbezone, für welche die Lärmempfindlichkeitsstufe IV gilt. Gemäss Anhang 6 der Lärmschutzverordnung gelten für die Empfindlichkeitsstufe IV die Planungswerte von 65 dB am Tag und 55 dB in der Nacht. Gemäss der Baube- willigung der KBK sowie der Meinungen der Fachstellen des Kantons werden die Pla- nungswerte hinsichtlich des Lärmschutzes sowie der Luftreinerhaltung vom Bauvorha- ben eingehalten. Weiter zu prüfen ist somit, ob die Vorinstanz zu Unrecht davon abge- sehen hat, weitere zu ergreifende Massnahmen zu verfügen, welche technisch und be- trieblich möglich und wirtschaftlich tragbar sind, um die Emissionen noch weiter zu be- grenzen.</w:t>
      </w:r>
    </w:p>
    <w:p>
      <w:r>
        <w:t>- 13 -</w:t>
      </w:r>
    </w:p>
    <w:p>
      <w:r>
        <w:rPr>
          <w:b/>
        </w:rPr>
        <w:t>E. 7.2.1</w:t>
      </w:r>
    </w:p>
    <w:p>
      <w:r>
        <w:t>Die Beschwerdeführerin schlägt verschiedene Massnahmen vor, mit denen sie gedenkt, dass die Emissionen weiter reduziert werden könnten. Wie bereits dargelegt, sind die Massnahmen nur dann zu verfügen, wenn sie mit relativ geringem Aufwand eine wesentliche zusätzliche Reduktion der Emissionen bewirken. Die von der Beschwerde- führerin beantragten und vorgeschlagenen Massnahmen erfüllen diese Voraussetzun- gen aber nicht. Die Schliessung der kompletten Gebäudehülle hätte einen beträchtlichen Aufwand und Kosten zur Folge. Auch die fixe Montage des mobilen Hackers, der dafür gedacht ist, auch auswärts in den Wäldern zum Einsatz zu kommen, wäre doch sehr aufwändig, da dies zur Folge hätte, dass die Beschwerdegegnerin einen zweiten mobi- len Hacker anschaffen müsste, um die von ihr gemäss Akten beabsichtigten 30 % des Hackbetriebs auswärts in den Wäldern zu betreiben. Auch das Errichten von Lärm- schutzwänden liesse sich nicht ohne weiteres mit geringem Aufwand realisieren. Auch hier würden Kosten anfallen, die nicht verhältnismässig wären. Ebenso ist die Reduzie- rung des Hackbetriebs um mehr als die Hälfte von 206 Stunden auf 80 Stunden pro Jahr nicht verhältnismässig. Der tägliche Hackbetrieb darf gemäss Baubewilligung der KBK maximal 4 Stunden pro Tag betragen. Eine Reduzierung auf 80 Stunden hätte wirtschaft- lich gesehen auch beträchtliche Einbussen für die Beschwerdegegnerin zur Folge, die nicht als relativ geringer Aufwand qualifiziert werden können. Auch diese Massnahme ist nicht verhältnismässig. Die Vorinstanz hat somit zu Recht von der Verfügung weiterer Massnahmen abgesehen.</w:t>
      </w:r>
    </w:p>
    <w:p>
      <w:r>
        <w:rPr>
          <w:b/>
        </w:rPr>
        <w:t>E. 7.3</w:t>
      </w:r>
    </w:p>
    <w:p>
      <w:r>
        <w:t>Schliesslich geht die Beschwerdeführerin auch mit ihrer Argumentation fehl, dass aufgrund des speziellen Umstandes, dass ihr Grundstück, welches ganzjährig bewohnt werde, in der Gewerbezone liege, im Sinne des Vorsorgeprinzips erst recht so viel Rück- sicht wie möglich genommen werde müsse. Die Beschwerdeführerin kann aus dem Um- stand, dass sie ganzjährig in der Gewerbezone wohnt, nicht ableiten, dass deswegen strengere Vorschriften gelten müssten, als diese in der Gewerbezone vorgesehen sind. Wie aus den Akten ersichtlich ist, war sie sich bewusst, dass sie in eine Gewerbezone zieht, war dies ja aufgrund ihrer Pferdehaltung, wie sie selber vorbringt, nötig. Da die Gewerbezone nach Art. 87 der Bauverordnung der Gemeinde A _________ eben ge- rade für das Gewerbe und für alle störenden Betriebe bestimmt ist, die in den Wohnzo- nen ausgeschlossen sind, muss die Beschwerdeführerin damit einhergehende noch zu- lässige Emissionen hinnehmen. Untersagt sind gemäss Art. 87 der Bauverordnung der Gemeinde A _________ nur übermässige Emissionen, welche vorliegend nicht vorzu- finden sind. Die Vorinstanz hat demnach zu Recht auf die Verfügung weiterer zu ergrei- fender Massnahmen verzichtet.</w:t>
      </w:r>
    </w:p>
    <w:p>
      <w:r>
        <w:t>- 14 -</w:t>
      </w:r>
    </w:p>
    <w:p>
      <w:r>
        <w:rPr>
          <w:b/>
        </w:rPr>
        <w:t>E. 7.4</w:t>
      </w:r>
    </w:p>
    <w:p>
      <w:r>
        <w:t>Die Beschwerdeführerin forderte weiter, dass der Standort des Hackers genau fest- zulegen sei. Es sei bereits mehrfach vorgekommen, dass sich der Hacker entgegen der Baubewilligung nicht in der Mitte des Platzes befunden habe und sie dabei bei offenem Fenster in ihrer Wohnung einen Maximalwert von 128 dB gemessen habe.</w:t>
      </w:r>
    </w:p>
    <w:p>
      <w:r>
        <w:rPr>
          <w:b/>
        </w:rPr>
        <w:t>E. 7.4.1</w:t>
      </w:r>
    </w:p>
    <w:p>
      <w:r>
        <w:t>In der Baubewilligung der KBK wird festgelegt, der mobile Hacker sei in der Mitte des Platzes hinter der Hackschnitzelhalle zu installieren. Insofern ist damit eindeutig klar, wo sich der mobile Hacker während des Betriebs zu befinden hat. Sollte diese Auflage nicht korrekt befolgt werden, steht es der Beschwerdeführerin frei, sich an die Baupolizei zu wenden, welche für die Einhaltung der Bestimmungen der Baubewilligung zuständig ist. Überdies muss noch festgehalten werden, dass für das Gericht nicht nachvollziehbar ist, wie die Beschwerdeführerin in ihrer Wohnung einen vom mobilen Hacker erzeugten Maximalwert von 128 dB gemessen haben will, wenn man bedenkt, dass dies lauter wäre als ein startender Düsenjet aus 100 m Entfernung, der erfahrungsgemäss eine Lautstärke von über 120 dB erzeugt.</w:t>
      </w:r>
    </w:p>
    <w:p>
      <w:r>
        <w:rPr>
          <w:b/>
        </w:rPr>
        <w:t>E. 7.5</w:t>
      </w:r>
    </w:p>
    <w:p>
      <w:r>
        <w:t>Die Beschwerdeführerin rügt weiter, der Standort der Holzfeuerungsanlage sei un- günstig, da es zu einem Kaltsee-Effekt komme. Das Abgasrohr sei genau auf ihrer Höhe und durch den Kaltsee-Effekt würden die Abgase auf ihrer Höhe stehen bleiben, was eine übermässige Belastung für Mensch und Tier zur Folge haben könne. Ebenso macht die Beschwerdeführerin geltend, mit übermässiger Staubeinwirkung konfrontiert zu sein. Es sei bekannt, dass Holzhackgut gesundheitsschädigend sei. Auch seien Pilzsporen und Dämpfe, die beim Hackvorgang durch das Auswurfsrohr in die Umwelt gelangten, für Menschen als gefährlich einzustufen. Dies ergebe sich aus einem in der EU erstellte Gutachten nach einer Umweltverträglichkeitsprüfung, das zum Schluss gekommen sei, dass Pelletieranlagen nicht in Wohngebieten oder in deren Nähe errichtet werden dürfen. Seit gut zwei Monaten würden in den Gommerwäldern viele Bäume durch tödliche Pilze sterben und es sei gemäss ihren Recherchen noch nicht bekannt, welche Langzeitfolgen das Einatmen der Sporen dieser Pilze mit sich bringe. Die Beschwerdegegnerin müsse alles Mögliche tun, um die Gesundheit von Mensch und Tier zu schützen.</w:t>
      </w:r>
    </w:p>
    <w:p>
      <w:r>
        <w:rPr>
          <w:b/>
        </w:rPr>
        <w:t>E. 7.5.1</w:t>
      </w:r>
    </w:p>
    <w:p>
      <w:r>
        <w:t>Gemäss der kantonalen Baubewilligung wurden aufgrund der Vormeinungen der Fachstellen des Kantons Auflagen verfügt, die zur Einhaltung der Luftreinhaltung erfor- derlich sind, damit keine übermässige Belastung für Mensch und Tier entsteht. Das Ge- richt kann aufgrund der Ausführungen der Beschwerdeführerin nicht nachvollziehen, weshalb diese Auflagen dauerhaft nicht geeignet sein sollten, die Vorschriften der Luft- reinhaltung einzuhalten. Betreffend den Einwand der Gesundheitsschädigung durch Holzstaub ist der Beschwerdeführerin soweit Recht zu geben, als dass Buchenholzstaub</w:t>
      </w:r>
    </w:p>
    <w:p>
      <w:r>
        <w:t>- 15 - ein krebserzeugender Stoff ist. Genau aus diesem Grund wurde in der Baubewilligung verfügt, dass im Falle der Verwendung von Holzschnitzel, die Buchenholz enthalten, Massnahmen zu treffen sind, um deren Staubemission in der freien Luft zu vermeiden. Aus den Erkenntnissen des von der Beschwerdeführerin eingereichten Gutachtens nach einer Umweltverträglichkeitsprüfung betreffend die Gesundheitsschädigung durch Pilz- sporen und Dämpfen, die durch die Pelletieranlagen in die freie Umwelt gelangen, kann die Beschwerdeführerin aber nichts für sich ableiten. Dieses Gutachten befasst sich mit einer Pelletieranlage am Erzberg in Österreich und den sich dort anzutreffenden Bege- benheiten und kann nicht eins zu eins auf die hier in Frage stehende Sachlage ange- wendet werden. Es liegen weder Studien noch Erkenntnisse vor, die eine ähnliche Situ- ation in den Gommerwäldern vermuten lassen. Aus den genannten Gründen hat die Vo- rinstanz demnach zu Recht auf die Verfügung weiterer zu ergreifender Massnahmen verzichtet.</w:t>
      </w:r>
    </w:p>
    <w:p>
      <w:r>
        <w:rPr>
          <w:b/>
        </w:rPr>
        <w:t>E. 8</w:t>
      </w:r>
    </w:p>
    <w:p>
      <w:r>
        <w:t>Die Beschwerdeführerin bringt vor, das Bauvorhaben, welches inzwischen bereits ausgeführt worden sei, entspreche nicht den Plänen. Weitere Ausführungen dazu macht die Beschwerdeführerin allerdings nicht. Für das Gericht ist aufgrund der Aktenlage nicht erkennbar, inwiefern eine Abweichung von den Plänen bestehen soll. Zudem ist eine Überprüfung, ob die bereits gebaute Anlage den Plänen entspricht, nicht Gegenstand des hier in Frage stehenden Baubewilligungsverfahrens, sondern eines baupolizeilichen Verfahrens.</w:t>
      </w:r>
    </w:p>
    <w:p>
      <w:r>
        <w:rPr>
          <w:b/>
        </w:rPr>
        <w:t>E. 9</w:t>
      </w:r>
    </w:p>
    <w:p>
      <w:r>
        <w:t>Die Beschwerdeführerin rügt, das Bauvorhaben sei ungenügend erschlossen. Die Strasse sei zu schmal, so dass Kreuzungsmanöver mangels Ausweichstellen nicht mög- lich seien. Ausserdem sei die Strasse, die als Zufahrt dienen solle, ein offizieller und rege genutzter Wanderweg. Der zunehmende Lastwagenverkehr stelle eine Gefahr für Wan- derer, Radfahrer und Reiter dar. Es sei daher die Erstellung eines Erschliessungskon- zepts und die Kontingentierung des Lastwagenverkehrs nötig.</w:t>
      </w:r>
    </w:p>
    <w:p>
      <w:r>
        <w:rPr>
          <w:b/>
        </w:rPr>
        <w:t>E. 9.1</w:t>
      </w:r>
    </w:p>
    <w:p>
      <w:r>
        <w:t>Art. 22 des Bundesgesetzes über die Raumplanung vom 22. Juni 1979 (RPG; SR 700) knüpft die Erteilung einer Baubewilligung an die Voraussetzungen, dass die Bauten und Anlagen dem Zweck der Nutzungszone entsprechen und das Land erschlos- sen ist (Abs. 2 lit. a und b). Die Erschliessung von Land setzt nach Art. 19 Abs. 1 RPG unter anderem voraus, dass eine für die betreffende Nutzung hinreichende Zufahrt be- steht. Gemäss der bundesgerichtlichen Rechtsprechung ist eine Zufahrt nach Art. 19 Abs. 1 RPG hinreichend, wenn die Zugänglichkeit sowohl für die Benützer der Bauten als auch für Fahrzeuge der öffentlichen Dienste gewährleistet ist. Die Zufahrten sollten</w:t>
      </w:r>
    </w:p>
    <w:p>
      <w:r>
        <w:t>- 16 - verkehrssicher sein, das heisst die Sicherheit der Fahrzeuglenker sowie der übrigen Be- nützer sicherstellen, und haben sich nach den zonengerechten Baumöglichkeiten jener Flächen zu richten, die sie erschliessen sollen. Für Erschliessungsanlagen auf fremdem Grund ist deren rechtliche Sicherstellung nachzuweisen. Was als hinreichende Zufahrt gilt, hängt von der beanspruchten Nutzung des Grundstücks sowie den massgeblichen (namentlich örtlichen) Umständen des Einzelfalls ab. Die einzelnen Anforderungen er- geben sich im Detail erst aus dem kantonalen Recht und der kantonalen Gerichts- und Verwaltungspraxis, die sich am bundesrechtlichen Rahmen zu orientieren haben. Bei der Beurteilung, ob eine Zufahrt ein Baugrundstück hinreichend erschliesst, steht den kantonalen und kommunalen Behörden ein erhebliches Ermessen zu (Urteil des Bun- desgerichts 1C_226/2019 vom 24. April 2020 E. 5.1; BGE 136 III 130 E. 3.3.2; A1 16 224 vom 31. März 2017 E. 5.1; Eloi Jeannerat, in: Heinz Aemisegger/Pierre Moor/Ale- xander Ruch/Pierre Tschannen (Hrsg.), Praxiskommentar RPG: Nutzungsplanung, 2016, N. 26 ff. zu Art. 19). Gemäss Art. 4 Abs. 3 der Bauverordnung vom 1. Juni 2016 (BauV, SGS/VS 705.100) gilt bei Erschliessungsanlagen auf fremden Boden die Er- schliessung als sichergestellt, wenn für die Grundeigentümer entweder ein verbindlicher Plan besteht oder das Recht zu ihrer Erstellung und Erhaltung vor Erteilung der Baube- willigung vereinbart ist.</w:t>
      </w:r>
    </w:p>
    <w:p>
      <w:r>
        <w:rPr>
          <w:b/>
        </w:rPr>
        <w:t>E. 9.2</w:t>
      </w:r>
    </w:p>
    <w:p>
      <w:r>
        <w:t>Vorliegend führt die Zufahrt zum Bauvorhaben der Beschwerdegegnerin über frem- des Eigentum. Wie aus den Akten ersichtlich ist, verfügt sie über ein Durchfahrts- und Durchgangsrecht und die Zufahrt ist damit in rechtlicher Hinsicht gewährleistet. Wie die Beschwerdeführerin richtig behauptet, wird die Zufahrtsstrasse auch von weiteren Fuss- gängern benutzt, da über die Strasse auch ein öffentlicher Wanderweg führt. Wie die Beschwerdeführerin ebenfalls richtig erkennt, muss die Verkehrssicherheit der Strassen- nutzer gewährleistet sein. Bei der Zufahrtsstrasse handelt es sich im vorliegenden Fall um eine Nebenstrasse, auf der kein übermässiger durchschnittlicher täglicher Verkehr besteht. Zudem ist sie relativ geradlinig und offen, so dass eine sehr gute Übersicht mit genügenden Sichtweiten in alle Richtungen besteht. Richtig ist auch, dass die Strasse nicht derart breit ist, dass zwei Fahrzeuge kreuzen können. Dies ist aber bei Zufahrts- strassen regelmässig der Fall. Sollte sich ein Lastwagen und ein entgegenkommendes Fahrzeug kreuzen, müssen sich diese im Einzelfall verständigen, wer bis zur nächsten Ausweichstelle zurückfährt, oder wer dem anderen den Vortritt lässt, bis dieser den be- treffenden Strassenteil passiert hat. Dies ist auch der Fall bei öffentlichen nicht zweispu- rigen Strassen, wie es in Berggebieten öfters vorzufinden ist. Es wird nicht gefordert, dass jede Zufahrt, um als hinreichend qualifiziert zu werden, so breit sein muss, dass</w:t>
      </w:r>
    </w:p>
    <w:p>
      <w:r>
        <w:t>- 17 - sich zwei entgegenkommende Fahrzeuge kreuzen können. Was die Sicherheit der Fuss- gänger betrifft, so ist auch diese gegeben. Da die Zufahrtsstrasse, die ebenfalls einen Wanderweg darstellt, - wie bereits - erwähnt sehr übersichtlich gestaltet ist und gröss- tenteils parallel zu einem flachen Strassenbord verläuft, können die Fussgänger bei ei- nem ihnen entgegenkommenden Fahrzeug ohne weiteres und ohne Probleme auf die sich neben der Strasse befindende Wiese oder an den Rand der Strasse ausweichen, so dass ein Fahrzeug neben ihnen problemlos vorbeifahren kann. Schliesslich geht aus den Akten hervor, dass der Lastwagenbetrieb pro Tag voraussichtlich insgesamt nur circa 35 Minuten betragen soll bzw. 83 Stunden pro Jahr. Die Zufahrt kann nach dem Gesagten als hinreichend beurteilt werden, so dass sich die Frage nach der Erstellung eines Erschliessungskonzepts, für welches das Gericht ohnehin keine gesetzliche Grundlage erkennen kann, und der Kontingentierung nicht weiter stellt.</w:t>
      </w:r>
    </w:p>
    <w:p>
      <w:r>
        <w:rPr>
          <w:b/>
        </w:rPr>
        <w:t>E. 10</w:t>
      </w:r>
    </w:p>
    <w:p>
      <w:r>
        <w:t>Die Beschwerde wir nach dem Gesagten insgesamt abgewiesen. Dieser Ausgang des Verfahrens bestimmt nach Art. 89 VVRG die Kostentragung und ist nach Art. 91 VVRG für den Entscheid über die Zusprechung einer Parteientschädigung mas- sgebend.</w:t>
      </w:r>
    </w:p>
    <w:p>
      <w:r>
        <w:rPr>
          <w:b/>
        </w:rPr>
        <w:t>E. 10.1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GS/VS 173.8) setzen sich die Kosten aus den Auslagen der Entscheidbehörde sowie der Gerichtsgebühr zusammen. Die Gerichtsgebühr für Beschwerdeverfahren vor der öffentlichrechtlichen Abteilung des Kantonsgerichts beträgt in der Regel zwischen Fr. 280.-- und Fr. 5 000.-- (Art. 25 GTar). Aufgrund der Bedeutung des Falles sowie sei- nes Umfangs und Schwierigkeitsgrads wird die Gerichtsgebühr vorliegend auf Fr. 1 500.-- festgesetzt.</w:t>
      </w:r>
    </w:p>
    <w:p>
      <w:r>
        <w:rPr>
          <w:b/>
        </w:rPr>
        <w:t>E. 10.2</w:t>
      </w:r>
    </w:p>
    <w:p>
      <w:r>
        <w:t>Die Beschwerdeinstanz gewährt der ganz oder teilweise obsiegenden Partei, ab- gesehen von hier nicht interessierenden Ausnahmen, auf Begehren die Rückerstattung der notwendigen Kosten, die ihr entstanden sind (Art. 91 Abs. 1 VVRG). Die Entschädi- gung wird im Dispositiv beziffert und der Staats- oder Gemeindekasse auferlegt, soweit sie aus Billigkeitsgründen nicht der unterliegenden Partei auferlegt werden kann (Art. 91 Abs. 2 VVRG). Die Parteientschädigung ist global festzusetzen und umfasst die Ent- schädigung an die berechtigte Partei sowie die Kosten des Rechtsbeistands (Art. 4 Abs.</w:t>
      </w:r>
    </w:p>
    <w:p>
      <w:r>
        <w:t>- 18 - 1 GTar). Die Kosten des Rechtsbeistands umfassen das Honorar, welches für das Ver- fahren bei einer Verwaltungsbeschwerde zwischen Fr. 550.-- bis Fr. 8 800.-- und im Ver- waltungsgerichtsbeschwerdeverfahren zwischen Fr. 1 100.-- und Fr. 11 000.-- festge- legt wird (Art. 39 GTar), wobei die Natur und Bedeutung des Falls, die Schwierigkeit, der Umfang, die vom Rechtsbeistand nützlich aufgewandte Zeit und die finanzielle Situation der Partei berücksichtigt wird (Art. 27 Abs. 1 GTar), sowie weitere Auslagen (Art. 4 Abs. 3 GTar). Aufgrund des Umfangs, des geschätzten Aufwands, der Bedeutung und der Schwierigkeit des Falles wird der obsiegenden anwaltlich vertretenen Beschwerdegeg- nerin für das Beschwerdeverfahren vor Kantonsgericht eine Entschädigung von insge- samt Fr. 2 000.-- (inkl. MwSt. und Auslagen) zugesprochen (Art. 91 Abs. 2 VVRG), wel- che der Beschwerdeführerin auferlegt wird.</w:t>
      </w:r>
    </w:p>
    <w:p>
      <w:r>
        <w:t>Demnach erkennt das Kantonsgericht:</w:t>
      </w:r>
    </w:p>
    <w:p>
      <w:r>
        <w:t>1. Die Beschwerde wird abgewiesen, soweit darauf einzutreten ist. 2. Die Gerichtskosten von Fr. 1 500.-- werden der Beschwerdeführerin auferlegt. 3. Der Beschwerdegegnerin wird eine Parteientschädigung von Fr. 2 000.-- zu Lasten der Beschwerdeführerin zugesprochen. 4. Das Urteil wird der Beschwerdeführerin, dem Staatsrat des Kantons Wallis und der Beschwerdegegnerin schriftlich mitgeteilt.</w:t>
      </w:r>
    </w:p>
    <w:p>
      <w:r>
        <w:t>Sitten, 26. Oktober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